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8C4219" w:rsidRDefault="008C4219" w:rsidP="005E1EC9">
      <w:pPr>
        <w:pStyle w:val="NormalWeb"/>
        <w:spacing w:before="0" w:beforeAutospacing="0" w:after="0" w:afterAutospacing="0"/>
        <w:jc w:val="both"/>
        <w:rPr>
          <w:rFonts w:ascii="Arial" w:hAnsi="Arial" w:cs="Arial"/>
          <w:b/>
          <w:bCs/>
          <w:caps/>
          <w:color w:val="002F5D"/>
          <w:sz w:val="21"/>
          <w:szCs w:val="21"/>
        </w:rPr>
      </w:pPr>
    </w:p>
    <w:p w:rsidR="00637A77" w:rsidRDefault="00637A77" w:rsidP="009A4981">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637A77" w:rsidRDefault="00637A77" w:rsidP="009A4981">
      <w:pPr>
        <w:pStyle w:val="NormalWeb"/>
        <w:spacing w:before="0" w:beforeAutospacing="0" w:after="0" w:afterAutospacing="0"/>
        <w:jc w:val="both"/>
        <w:rPr>
          <w:rFonts w:ascii="Arial" w:hAnsi="Arial" w:cs="Arial"/>
          <w:b/>
          <w:bCs/>
          <w:caps/>
          <w:color w:val="002F5D"/>
        </w:rPr>
      </w:pPr>
    </w:p>
    <w:p w:rsidR="00637A77" w:rsidRPr="00637A77" w:rsidRDefault="00637A77" w:rsidP="009A4981">
      <w:pPr>
        <w:pStyle w:val="NormalWeb"/>
        <w:spacing w:before="0" w:beforeAutospacing="0" w:after="0" w:afterAutospacing="0"/>
        <w:jc w:val="both"/>
        <w:rPr>
          <w:rFonts w:ascii="Arial" w:hAnsi="Arial" w:cs="Arial"/>
          <w:b/>
          <w:bCs/>
          <w:caps/>
          <w:color w:val="002F5D"/>
          <w:sz w:val="22"/>
          <w:szCs w:val="22"/>
        </w:rPr>
      </w:pPr>
      <w:r w:rsidRPr="00637A77">
        <w:rPr>
          <w:rFonts w:ascii="Arial" w:hAnsi="Arial" w:cs="Arial"/>
          <w:b/>
          <w:bCs/>
          <w:caps/>
          <w:color w:val="002F5D"/>
          <w:sz w:val="22"/>
          <w:szCs w:val="22"/>
        </w:rPr>
        <w:t>Empresas beneficiarias de regímenes de promoción industrial. Se prorroga al 31/7/2020 la suspensión de las ejecuciones fiscales</w:t>
      </w:r>
      <w:r>
        <w:rPr>
          <w:rFonts w:ascii="Arial" w:hAnsi="Arial" w:cs="Arial"/>
          <w:b/>
          <w:bCs/>
          <w:caps/>
          <w:color w:val="002F5D"/>
          <w:sz w:val="22"/>
          <w:szCs w:val="22"/>
        </w:rPr>
        <w:t xml:space="preserve"> - </w:t>
      </w:r>
      <w:r w:rsidRPr="00637A77">
        <w:rPr>
          <w:rFonts w:ascii="Arial" w:hAnsi="Arial" w:cs="Arial"/>
          <w:b/>
          <w:bCs/>
          <w:caps/>
          <w:color w:val="002F5D"/>
          <w:sz w:val="22"/>
          <w:szCs w:val="22"/>
        </w:rPr>
        <w:t>RESOLUCIÓN GENERAL (</w:t>
      </w:r>
      <w:proofErr w:type="spellStart"/>
      <w:r w:rsidRPr="00637A77">
        <w:rPr>
          <w:rFonts w:ascii="Arial" w:hAnsi="Arial" w:cs="Arial"/>
          <w:b/>
          <w:bCs/>
          <w:caps/>
          <w:color w:val="002F5D"/>
          <w:sz w:val="22"/>
          <w:szCs w:val="22"/>
        </w:rPr>
        <w:t>Adm</w:t>
      </w:r>
      <w:proofErr w:type="spellEnd"/>
      <w:r w:rsidRPr="00637A77">
        <w:rPr>
          <w:rFonts w:ascii="Arial" w:hAnsi="Arial" w:cs="Arial"/>
          <w:b/>
          <w:bCs/>
          <w:caps/>
          <w:color w:val="002F5D"/>
          <w:sz w:val="22"/>
          <w:szCs w:val="22"/>
        </w:rPr>
        <w:t>. Fed. Ingresos Públicos) 4663</w:t>
      </w:r>
    </w:p>
    <w:p w:rsidR="00637A77" w:rsidRDefault="00637A77" w:rsidP="009A4981">
      <w:pPr>
        <w:pStyle w:val="NormalWeb"/>
        <w:spacing w:before="0" w:beforeAutospacing="0" w:after="0" w:afterAutospacing="0"/>
        <w:jc w:val="both"/>
        <w:rPr>
          <w:rFonts w:ascii="Arial" w:hAnsi="Arial" w:cs="Arial"/>
          <w:b/>
          <w:bCs/>
          <w:caps/>
          <w:color w:val="002F5D"/>
        </w:rPr>
      </w:pPr>
    </w:p>
    <w:p w:rsidR="00637A77" w:rsidRDefault="00637A77" w:rsidP="00637A77">
      <w:pPr>
        <w:pStyle w:val="NormalWeb"/>
        <w:spacing w:before="0" w:beforeAutospacing="0" w:after="0" w:afterAutospacing="0" w:line="360" w:lineRule="auto"/>
        <w:jc w:val="both"/>
        <w:rPr>
          <w:rStyle w:val="negritanovedades"/>
          <w:b w:val="0"/>
          <w:lang w:val="es-AR" w:eastAsia="es-AR"/>
        </w:rPr>
      </w:pPr>
      <w:r w:rsidRPr="00637A77">
        <w:rPr>
          <w:rStyle w:val="negritanovedades"/>
          <w:b w:val="0"/>
          <w:lang w:val="es-AR" w:eastAsia="es-AR"/>
        </w:rPr>
        <w:t>Se prorroga hasta el 31/7/2020 el plazo de suspensión de las ejecuciones fiscales relacionadas con las deudas susceptibles de condonación que deben ser verificadas, en el marco del régimen de promoción industrial -dispuesto por la L. 22021-.</w:t>
      </w:r>
    </w:p>
    <w:p w:rsidR="00637A77" w:rsidRPr="00637A77" w:rsidRDefault="00637A77" w:rsidP="00637A77">
      <w:pPr>
        <w:pStyle w:val="NormalWeb"/>
        <w:spacing w:before="0" w:beforeAutospacing="0" w:after="0" w:afterAutospacing="0" w:line="360" w:lineRule="auto"/>
        <w:jc w:val="both"/>
        <w:rPr>
          <w:rStyle w:val="negritanovedades"/>
          <w:b w:val="0"/>
          <w:lang w:val="es-AR" w:eastAsia="es-AR"/>
        </w:rPr>
      </w:pPr>
      <w:r w:rsidRPr="00637A77">
        <w:rPr>
          <w:rStyle w:val="negritanovedades"/>
          <w:b w:val="0"/>
          <w:lang w:val="es-AR" w:eastAsia="es-AR"/>
        </w:rPr>
        <w:t>Recordamos que la ley de presupuesto del año 2017, en su artículo 79, dispuso la condonación de las deudas de empresas beneficiarias del citado Régimen de Promoción Industrial, generadas hasta el período fiscal 2015, originadas por el usufructo de una cantidad de bonos de crédito fiscal superior a la originalmente reconocida, que hubiera sido acreditado en el marco de un proceso judicial cuyo resultado finalmente haya sido adverso a las beneficiarias del citado Régimen, en la medida en que dichas empresas hubieran cumplido con las obligaciones previstas en su acto particular de concesión de beneficios</w:t>
      </w:r>
    </w:p>
    <w:p w:rsidR="00637A77" w:rsidRDefault="00637A77" w:rsidP="009A4981">
      <w:pPr>
        <w:pStyle w:val="NormalWeb"/>
        <w:spacing w:before="0" w:beforeAutospacing="0" w:after="0" w:afterAutospacing="0"/>
        <w:jc w:val="both"/>
        <w:rPr>
          <w:rFonts w:ascii="Arial" w:hAnsi="Arial" w:cs="Arial"/>
          <w:b/>
          <w:bCs/>
          <w:caps/>
          <w:color w:val="002F5D"/>
        </w:rPr>
      </w:pPr>
    </w:p>
    <w:p w:rsidR="00637A77" w:rsidRDefault="00637A77" w:rsidP="009A4981">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637A77" w:rsidRDefault="00637A77" w:rsidP="009A4981">
      <w:pPr>
        <w:pStyle w:val="NormalWeb"/>
        <w:spacing w:before="0" w:beforeAutospacing="0" w:after="0" w:afterAutospacing="0"/>
        <w:jc w:val="both"/>
        <w:rPr>
          <w:rFonts w:ascii="Arial" w:hAnsi="Arial" w:cs="Arial"/>
          <w:b/>
          <w:bCs/>
          <w:caps/>
          <w:color w:val="002F5D"/>
        </w:rPr>
      </w:pPr>
    </w:p>
    <w:p w:rsidR="00637A77" w:rsidRPr="00637A77" w:rsidRDefault="00637A77" w:rsidP="00637A77">
      <w:pPr>
        <w:pStyle w:val="NormalWeb"/>
        <w:spacing w:before="0" w:beforeAutospacing="0" w:after="0" w:afterAutospacing="0"/>
        <w:jc w:val="both"/>
        <w:rPr>
          <w:rFonts w:ascii="Arial" w:hAnsi="Arial" w:cs="Arial"/>
          <w:b/>
          <w:bCs/>
          <w:caps/>
          <w:color w:val="002F5D"/>
          <w:sz w:val="22"/>
          <w:szCs w:val="22"/>
        </w:rPr>
      </w:pPr>
      <w:r w:rsidRPr="00637A77">
        <w:rPr>
          <w:rFonts w:ascii="Arial" w:hAnsi="Arial" w:cs="Arial"/>
          <w:b/>
          <w:bCs/>
          <w:caps/>
          <w:color w:val="002F5D"/>
          <w:sz w:val="22"/>
          <w:szCs w:val="22"/>
        </w:rPr>
        <w:t xml:space="preserve">Santa Fe. Estabilidad fiscal para el ejercicio fiscal 2020 </w:t>
      </w:r>
      <w:r>
        <w:rPr>
          <w:rFonts w:ascii="Arial" w:hAnsi="Arial" w:cs="Arial"/>
          <w:b/>
          <w:bCs/>
          <w:caps/>
          <w:color w:val="002F5D"/>
          <w:sz w:val="22"/>
          <w:szCs w:val="22"/>
        </w:rPr>
        <w:t xml:space="preserve">- </w:t>
      </w:r>
      <w:r w:rsidRPr="00637A77">
        <w:rPr>
          <w:rFonts w:ascii="Arial" w:hAnsi="Arial" w:cs="Arial"/>
          <w:b/>
          <w:bCs/>
          <w:caps/>
          <w:color w:val="002F5D"/>
          <w:sz w:val="22"/>
          <w:szCs w:val="22"/>
        </w:rPr>
        <w:t>RESOLUCIÓN GENERAL (</w:t>
      </w:r>
      <w:proofErr w:type="spellStart"/>
      <w:r w:rsidRPr="00637A77">
        <w:rPr>
          <w:rFonts w:ascii="Arial" w:hAnsi="Arial" w:cs="Arial"/>
          <w:b/>
          <w:bCs/>
          <w:caps/>
          <w:color w:val="002F5D"/>
          <w:sz w:val="22"/>
          <w:szCs w:val="22"/>
        </w:rPr>
        <w:t>Adm</w:t>
      </w:r>
      <w:proofErr w:type="spellEnd"/>
      <w:r w:rsidRPr="00637A77">
        <w:rPr>
          <w:rFonts w:ascii="Arial" w:hAnsi="Arial" w:cs="Arial"/>
          <w:b/>
          <w:bCs/>
          <w:caps/>
          <w:color w:val="002F5D"/>
          <w:sz w:val="22"/>
          <w:szCs w:val="22"/>
        </w:rPr>
        <w:t>. Prov. Impuestos Santa Fe) 2/2020</w:t>
      </w:r>
    </w:p>
    <w:p w:rsidR="00637A77" w:rsidRDefault="00637A77" w:rsidP="009A4981">
      <w:pPr>
        <w:pStyle w:val="NormalWeb"/>
        <w:spacing w:before="0" w:beforeAutospacing="0" w:after="0" w:afterAutospacing="0"/>
        <w:jc w:val="both"/>
        <w:rPr>
          <w:rFonts w:ascii="Arial" w:hAnsi="Arial" w:cs="Arial"/>
          <w:b/>
          <w:bCs/>
          <w:caps/>
          <w:color w:val="002F5D"/>
        </w:rPr>
      </w:pPr>
    </w:p>
    <w:p w:rsidR="00637A77" w:rsidRDefault="00637A77" w:rsidP="00637A77">
      <w:pPr>
        <w:pStyle w:val="NormalWeb"/>
        <w:spacing w:before="0" w:beforeAutospacing="0" w:after="0" w:afterAutospacing="0" w:line="360" w:lineRule="auto"/>
        <w:jc w:val="both"/>
        <w:rPr>
          <w:rStyle w:val="negritanovedades"/>
          <w:b w:val="0"/>
          <w:lang w:val="es-AR" w:eastAsia="es-AR"/>
        </w:rPr>
      </w:pPr>
      <w:r w:rsidRPr="00637A77">
        <w:rPr>
          <w:rStyle w:val="negritanovedades"/>
          <w:b w:val="0"/>
          <w:lang w:val="es-AR" w:eastAsia="es-AR"/>
        </w:rPr>
        <w:t>Se dispone la aplicación, para el ejercicio fiscal 2020, del beneficio de estabilidad fiscal -art. 25, L. (Santa Fe) 13750-.</w:t>
      </w:r>
    </w:p>
    <w:p w:rsidR="00637A77" w:rsidRDefault="00637A77" w:rsidP="00637A77">
      <w:pPr>
        <w:pStyle w:val="NormalWeb"/>
        <w:spacing w:before="0" w:beforeAutospacing="0" w:after="0" w:afterAutospacing="0" w:line="360" w:lineRule="auto"/>
        <w:jc w:val="both"/>
        <w:rPr>
          <w:rStyle w:val="negritanovedades"/>
          <w:b w:val="0"/>
          <w:lang w:val="es-AR" w:eastAsia="es-AR"/>
        </w:rPr>
      </w:pPr>
      <w:r w:rsidRPr="00637A77">
        <w:rPr>
          <w:rStyle w:val="negritanovedades"/>
          <w:b w:val="0"/>
          <w:lang w:val="es-AR" w:eastAsia="es-AR"/>
        </w:rPr>
        <w:t xml:space="preserve">Recordamos que el citado beneficio corresponde a aquellos contribuyentes que vieron incrementada su carga tributaria en el impuesto sobre los ingresos brutos a nivel consolidado del total de las jurisdicciones donde tribute, y siempre que dicho incremento corresponda a los aumentos de alícuota establecidos para las actividades industriales en general, y aquellas actividades industriales realizadas bajo la modalidad de </w:t>
      </w:r>
      <w:proofErr w:type="spellStart"/>
      <w:r w:rsidRPr="00637A77">
        <w:rPr>
          <w:rStyle w:val="negritanovedades"/>
          <w:b w:val="0"/>
          <w:lang w:val="es-AR" w:eastAsia="es-AR"/>
        </w:rPr>
        <w:t>fasón</w:t>
      </w:r>
      <w:proofErr w:type="spellEnd"/>
      <w:r w:rsidRPr="00637A77">
        <w:rPr>
          <w:rStyle w:val="negritanovedades"/>
          <w:b w:val="0"/>
          <w:lang w:val="es-AR" w:eastAsia="es-AR"/>
        </w:rPr>
        <w:t xml:space="preserve"> por los sujetos denominados </w:t>
      </w:r>
      <w:proofErr w:type="spellStart"/>
      <w:r w:rsidRPr="00637A77">
        <w:rPr>
          <w:rStyle w:val="negritanovedades"/>
          <w:b w:val="0"/>
          <w:lang w:val="es-AR" w:eastAsia="es-AR"/>
        </w:rPr>
        <w:t>faconiers</w:t>
      </w:r>
      <w:proofErr w:type="spellEnd"/>
      <w:r w:rsidRPr="00637A77">
        <w:rPr>
          <w:rStyle w:val="negritanovedades"/>
          <w:b w:val="0"/>
          <w:lang w:val="es-AR" w:eastAsia="es-AR"/>
        </w:rPr>
        <w:t xml:space="preserve"> o confeccionistas.</w:t>
      </w:r>
    </w:p>
    <w:p w:rsidR="00637A77" w:rsidRPr="00637A77" w:rsidRDefault="00637A77" w:rsidP="00637A77">
      <w:pPr>
        <w:pStyle w:val="NormalWeb"/>
        <w:spacing w:before="0" w:beforeAutospacing="0" w:after="0" w:afterAutospacing="0" w:line="360" w:lineRule="auto"/>
        <w:jc w:val="both"/>
        <w:rPr>
          <w:rStyle w:val="negritanovedades"/>
          <w:b w:val="0"/>
          <w:lang w:val="es-AR" w:eastAsia="es-AR"/>
        </w:rPr>
      </w:pPr>
      <w:r w:rsidRPr="00637A77">
        <w:rPr>
          <w:rStyle w:val="negritanovedades"/>
          <w:b w:val="0"/>
          <w:lang w:val="es-AR" w:eastAsia="es-AR"/>
        </w:rPr>
        <w:lastRenderedPageBreak/>
        <w:t>Al respecto, se establece que, a los fines del cálculo de las alícuotas que deberán aplicarse para el período fiscal 2020 con motivo de dicho beneficio, no serán computados los incrementos de alícuotas que pudieran haber establecido para el año 2020 las restantes jurisdicciones, y en ningún caso la alícuota resultante podrá ser inferior a la vigente en diciembre de 2017 para la actividad respectivo</w:t>
      </w:r>
    </w:p>
    <w:p w:rsidR="00637A77" w:rsidRDefault="00637A77" w:rsidP="009A4981">
      <w:pPr>
        <w:pStyle w:val="NormalWeb"/>
        <w:spacing w:before="0" w:beforeAutospacing="0" w:after="0" w:afterAutospacing="0"/>
        <w:jc w:val="both"/>
        <w:rPr>
          <w:rFonts w:ascii="Arial" w:hAnsi="Arial" w:cs="Arial"/>
          <w:b/>
          <w:bCs/>
          <w:caps/>
          <w:color w:val="002F5D"/>
        </w:rPr>
      </w:pPr>
    </w:p>
    <w:p w:rsidR="00637A77" w:rsidRDefault="00637A77" w:rsidP="009A4981">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MUNICIPALES</w:t>
      </w:r>
    </w:p>
    <w:p w:rsidR="00637A77" w:rsidRDefault="00637A77" w:rsidP="009A4981">
      <w:pPr>
        <w:pStyle w:val="NormalWeb"/>
        <w:spacing w:before="0" w:beforeAutospacing="0" w:after="0" w:afterAutospacing="0"/>
        <w:jc w:val="both"/>
        <w:rPr>
          <w:rFonts w:ascii="Arial" w:hAnsi="Arial" w:cs="Arial"/>
          <w:b/>
          <w:bCs/>
          <w:caps/>
          <w:color w:val="002F5D"/>
        </w:rPr>
      </w:pPr>
    </w:p>
    <w:p w:rsidR="0065530C" w:rsidRDefault="0065530C" w:rsidP="009A4981">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Rosario</w:t>
      </w:r>
    </w:p>
    <w:p w:rsidR="0065530C" w:rsidRPr="0065530C" w:rsidRDefault="0065530C" w:rsidP="009A4981">
      <w:pPr>
        <w:pStyle w:val="NormalWeb"/>
        <w:spacing w:before="0" w:beforeAutospacing="0" w:after="0" w:afterAutospacing="0"/>
        <w:jc w:val="both"/>
        <w:rPr>
          <w:rFonts w:ascii="Arial" w:hAnsi="Arial" w:cs="Arial"/>
          <w:b/>
          <w:bCs/>
          <w:caps/>
          <w:color w:val="002F5D"/>
        </w:rPr>
      </w:pPr>
    </w:p>
    <w:p w:rsidR="00637A77" w:rsidRPr="00637A77" w:rsidRDefault="00637A77" w:rsidP="00637A77">
      <w:pPr>
        <w:pStyle w:val="Ttulo4"/>
        <w:rPr>
          <w:rFonts w:ascii="Arial" w:eastAsiaTheme="minorHAnsi" w:hAnsi="Arial" w:cs="Arial"/>
          <w:i w:val="0"/>
          <w:iCs w:val="0"/>
          <w:caps/>
          <w:color w:val="002F5D"/>
          <w:sz w:val="22"/>
          <w:szCs w:val="22"/>
        </w:rPr>
      </w:pPr>
      <w:r w:rsidRPr="00637A77">
        <w:rPr>
          <w:rFonts w:ascii="Arial" w:eastAsiaTheme="minorHAnsi" w:hAnsi="Arial" w:cs="Arial"/>
          <w:i w:val="0"/>
          <w:iCs w:val="0"/>
          <w:caps/>
          <w:color w:val="002F5D"/>
          <w:sz w:val="22"/>
          <w:szCs w:val="22"/>
        </w:rPr>
        <w:t>Plan especial de regularización de deudas</w:t>
      </w:r>
    </w:p>
    <w:p w:rsidR="00637A77" w:rsidRPr="00637A77" w:rsidRDefault="00637A77" w:rsidP="00637A77">
      <w:pPr>
        <w:pStyle w:val="NormalWeb"/>
        <w:spacing w:line="360" w:lineRule="auto"/>
        <w:jc w:val="both"/>
        <w:rPr>
          <w:rStyle w:val="negritanovedades"/>
          <w:b w:val="0"/>
          <w:lang w:val="es-AR" w:eastAsia="es-AR"/>
        </w:rPr>
      </w:pPr>
      <w:r w:rsidRPr="00637A77">
        <w:rPr>
          <w:rStyle w:val="negritanovedades"/>
          <w:b w:val="0"/>
          <w:lang w:val="es-AR" w:eastAsia="es-AR"/>
        </w:rPr>
        <w:t xml:space="preserve">Desde el 13 de enero hasta el 30 de abril </w:t>
      </w:r>
      <w:r>
        <w:rPr>
          <w:rStyle w:val="negritanovedades"/>
          <w:b w:val="0"/>
          <w:lang w:val="es-AR" w:eastAsia="es-AR"/>
        </w:rPr>
        <w:t xml:space="preserve"> se puede</w:t>
      </w:r>
      <w:r w:rsidRPr="00637A77">
        <w:rPr>
          <w:rStyle w:val="negritanovedades"/>
          <w:b w:val="0"/>
          <w:lang w:val="es-AR" w:eastAsia="es-AR"/>
        </w:rPr>
        <w:t xml:space="preserve"> acceder al Plan Especial de Regularización, a fin de promover el cumplimiento de obligaciones vencidas en materia de TGI, </w:t>
      </w:r>
      <w:proofErr w:type="spellStart"/>
      <w:r w:rsidRPr="00637A77">
        <w:rPr>
          <w:rStyle w:val="negritanovedades"/>
          <w:b w:val="0"/>
          <w:lang w:val="es-AR" w:eastAsia="es-AR"/>
        </w:rPr>
        <w:t>DReI</w:t>
      </w:r>
      <w:proofErr w:type="spellEnd"/>
      <w:r w:rsidRPr="00637A77">
        <w:rPr>
          <w:rStyle w:val="negritanovedades"/>
          <w:b w:val="0"/>
          <w:lang w:val="es-AR" w:eastAsia="es-AR"/>
        </w:rPr>
        <w:t>, Tarifa por Gestión Diferencial de Residuos, Multas por Contravenciones, entre otras. Todos los tributos, exceptuando multas, incluyen períodos hasta el 11/2019.</w:t>
      </w:r>
    </w:p>
    <w:p w:rsidR="00637A77" w:rsidRPr="00637A77" w:rsidRDefault="00637A77" w:rsidP="00637A77">
      <w:pPr>
        <w:pStyle w:val="Ttulo4"/>
        <w:rPr>
          <w:rFonts w:ascii="Arial" w:eastAsiaTheme="minorHAnsi" w:hAnsi="Arial" w:cs="Arial"/>
          <w:i w:val="0"/>
          <w:iCs w:val="0"/>
          <w:caps/>
          <w:color w:val="002F5D"/>
          <w:sz w:val="22"/>
          <w:szCs w:val="22"/>
        </w:rPr>
      </w:pPr>
      <w:r w:rsidRPr="00637A77">
        <w:rPr>
          <w:rFonts w:ascii="Arial" w:eastAsiaTheme="minorHAnsi" w:hAnsi="Arial" w:cs="Arial"/>
          <w:i w:val="0"/>
          <w:iCs w:val="0"/>
          <w:caps/>
          <w:color w:val="002F5D"/>
          <w:sz w:val="22"/>
          <w:szCs w:val="22"/>
        </w:rPr>
        <w:t>Beneficios de la regularización:</w:t>
      </w:r>
    </w:p>
    <w:p w:rsidR="00637A77" w:rsidRPr="00637A77" w:rsidRDefault="00637A77" w:rsidP="00637A77">
      <w:pPr>
        <w:numPr>
          <w:ilvl w:val="0"/>
          <w:numId w:val="36"/>
        </w:numPr>
        <w:spacing w:before="100" w:beforeAutospacing="1" w:after="100" w:afterAutospacing="1" w:line="360" w:lineRule="auto"/>
        <w:jc w:val="both"/>
        <w:rPr>
          <w:rStyle w:val="negritanovedades"/>
          <w:b w:val="0"/>
          <w:lang w:val="es-AR" w:eastAsia="es-AR"/>
        </w:rPr>
      </w:pPr>
      <w:r w:rsidRPr="00637A77">
        <w:rPr>
          <w:rStyle w:val="negritanovedades"/>
          <w:b w:val="0"/>
          <w:lang w:val="es-AR" w:eastAsia="es-AR"/>
        </w:rPr>
        <w:t>Pago contado: descuento de intereses resarcitorios entre el 50% y 60%.</w:t>
      </w:r>
    </w:p>
    <w:p w:rsidR="00637A77" w:rsidRPr="00637A77" w:rsidRDefault="00637A77" w:rsidP="00637A77">
      <w:pPr>
        <w:numPr>
          <w:ilvl w:val="0"/>
          <w:numId w:val="36"/>
        </w:numPr>
        <w:spacing w:before="100" w:beforeAutospacing="1" w:after="100" w:afterAutospacing="1" w:line="360" w:lineRule="auto"/>
        <w:jc w:val="both"/>
        <w:rPr>
          <w:rStyle w:val="negritanovedades"/>
          <w:b w:val="0"/>
          <w:lang w:val="es-AR" w:eastAsia="es-AR"/>
        </w:rPr>
      </w:pPr>
      <w:r w:rsidRPr="00637A77">
        <w:rPr>
          <w:rStyle w:val="negritanovedades"/>
          <w:b w:val="0"/>
          <w:lang w:val="es-AR" w:eastAsia="es-AR"/>
        </w:rPr>
        <w:t>Hasta 6 cuotas sin interés financiero y descuento del 20% en intereses resarcitorios.</w:t>
      </w:r>
    </w:p>
    <w:p w:rsidR="00637A77" w:rsidRPr="00637A77" w:rsidRDefault="00637A77" w:rsidP="00637A77">
      <w:pPr>
        <w:numPr>
          <w:ilvl w:val="0"/>
          <w:numId w:val="36"/>
        </w:numPr>
        <w:spacing w:before="100" w:beforeAutospacing="1" w:after="100" w:afterAutospacing="1" w:line="360" w:lineRule="auto"/>
        <w:jc w:val="both"/>
        <w:rPr>
          <w:rStyle w:val="negritanovedades"/>
          <w:b w:val="0"/>
          <w:lang w:val="es-AR" w:eastAsia="es-AR"/>
        </w:rPr>
      </w:pPr>
      <w:r w:rsidRPr="00637A77">
        <w:rPr>
          <w:rStyle w:val="negritanovedades"/>
          <w:b w:val="0"/>
          <w:lang w:val="es-AR" w:eastAsia="es-AR"/>
        </w:rPr>
        <w:t>Hasta 12 cuotas sin interés financiero.</w:t>
      </w:r>
    </w:p>
    <w:p w:rsidR="00637A77" w:rsidRDefault="00637A77" w:rsidP="00637A77">
      <w:pPr>
        <w:numPr>
          <w:ilvl w:val="0"/>
          <w:numId w:val="36"/>
        </w:numPr>
        <w:spacing w:before="100" w:beforeAutospacing="1" w:after="100" w:afterAutospacing="1" w:line="360" w:lineRule="auto"/>
        <w:jc w:val="both"/>
        <w:rPr>
          <w:rFonts w:ascii="Verdana" w:eastAsia="Times New Roman" w:hAnsi="Verdana"/>
          <w:color w:val="333333"/>
          <w:sz w:val="18"/>
          <w:szCs w:val="18"/>
        </w:rPr>
      </w:pPr>
      <w:r w:rsidRPr="00637A77">
        <w:rPr>
          <w:rStyle w:val="negritanovedades"/>
          <w:b w:val="0"/>
          <w:lang w:val="es-AR" w:eastAsia="es-AR"/>
        </w:rPr>
        <w:t>Planes hasta 24, 36 y 60 cuotas, de acuerdo a la obligación a regularizar</w:t>
      </w:r>
      <w:r>
        <w:rPr>
          <w:rFonts w:ascii="Verdana" w:eastAsia="Times New Roman" w:hAnsi="Verdana"/>
          <w:color w:val="333333"/>
          <w:sz w:val="18"/>
          <w:szCs w:val="18"/>
        </w:rPr>
        <w:t>.</w:t>
      </w: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637A77" w:rsidRPr="00637A77" w:rsidRDefault="00637A77" w:rsidP="00637A77">
      <w:pPr>
        <w:pStyle w:val="NormalWeb"/>
        <w:spacing w:before="0" w:beforeAutospacing="0" w:after="0" w:afterAutospacing="0"/>
        <w:jc w:val="both"/>
        <w:rPr>
          <w:rFonts w:ascii="Arial" w:hAnsi="Arial" w:cs="Arial"/>
          <w:b/>
          <w:bCs/>
          <w:caps/>
          <w:color w:val="7E4F6F"/>
          <w:sz w:val="21"/>
          <w:szCs w:val="21"/>
        </w:rPr>
      </w:pPr>
      <w:r w:rsidRPr="00637A77">
        <w:rPr>
          <w:rFonts w:ascii="Arial" w:hAnsi="Arial" w:cs="Arial"/>
          <w:b/>
          <w:bCs/>
          <w:caps/>
          <w:color w:val="7E4F6F"/>
          <w:sz w:val="21"/>
          <w:szCs w:val="21"/>
        </w:rPr>
        <w:t>INCREMENTO SALARIAL, D.14/2020. PERSONAL INCORPORADO CON POsTERIORIDAD A LA ENTRADA EN VIGENCIA</w:t>
      </w:r>
    </w:p>
    <w:p w:rsidR="00637A77" w:rsidRDefault="00637A77" w:rsidP="00637A77">
      <w:pPr>
        <w:jc w:val="center"/>
        <w:rPr>
          <w:rFonts w:ascii="Arial" w:eastAsia="Times New Roman" w:hAnsi="Arial" w:cs="Arial"/>
          <w:color w:val="666666"/>
          <w:sz w:val="14"/>
          <w:szCs w:val="14"/>
        </w:rPr>
      </w:pPr>
    </w:p>
    <w:p w:rsidR="00637A77" w:rsidRDefault="00637A77" w:rsidP="00637A77">
      <w:pPr>
        <w:pStyle w:val="NormalWeb"/>
        <w:spacing w:before="0" w:beforeAutospacing="0" w:after="0" w:afterAutospacing="0"/>
        <w:jc w:val="both"/>
        <w:rPr>
          <w:rFonts w:ascii="Arial" w:hAnsi="Arial" w:cs="Arial"/>
          <w:b/>
          <w:bCs/>
          <w:color w:val="7E4F6F"/>
          <w:sz w:val="20"/>
          <w:szCs w:val="20"/>
        </w:rPr>
      </w:pPr>
      <w:r w:rsidRPr="00637A77">
        <w:rPr>
          <w:rFonts w:ascii="Arial" w:hAnsi="Arial" w:cs="Arial"/>
          <w:b/>
          <w:bCs/>
          <w:color w:val="7E4F6F"/>
          <w:sz w:val="20"/>
          <w:szCs w:val="20"/>
        </w:rPr>
        <w:t>El personal que se incorpore a la nómina con posterioridad a la entrada en vigencia del decreto, ¿tiene derecho al beneficio?</w:t>
      </w:r>
    </w:p>
    <w:p w:rsidR="00637A77" w:rsidRPr="00637A77" w:rsidRDefault="00637A77" w:rsidP="00637A77">
      <w:pPr>
        <w:pStyle w:val="NormalWeb"/>
        <w:spacing w:before="0" w:beforeAutospacing="0" w:after="0" w:afterAutospacing="0"/>
        <w:jc w:val="both"/>
        <w:rPr>
          <w:rFonts w:ascii="Arial" w:hAnsi="Arial" w:cs="Arial"/>
          <w:b/>
          <w:bCs/>
          <w:color w:val="7E4F6F"/>
          <w:sz w:val="20"/>
          <w:szCs w:val="20"/>
        </w:rPr>
      </w:pPr>
    </w:p>
    <w:p w:rsidR="00637A77" w:rsidRPr="00637A77" w:rsidRDefault="00637A77" w:rsidP="00637A77">
      <w:pPr>
        <w:pStyle w:val="NormalWeb"/>
        <w:spacing w:before="0" w:beforeAutospacing="0" w:after="0" w:afterAutospacing="0" w:line="360" w:lineRule="auto"/>
        <w:jc w:val="both"/>
        <w:rPr>
          <w:rStyle w:val="negritanovedades"/>
          <w:b w:val="0"/>
          <w:lang w:val="es-AR" w:eastAsia="es-AR"/>
        </w:rPr>
      </w:pPr>
      <w:r w:rsidRPr="00637A77">
        <w:rPr>
          <w:rStyle w:val="negritanovedades"/>
          <w:b w:val="0"/>
          <w:lang w:val="es-AR" w:eastAsia="es-AR"/>
        </w:rPr>
        <w:t xml:space="preserve">No existe limitación temporal alguna respecto del derecho al cobro del incremento solidario establecido por el decreto 14/2020, por lo que ya sea que se trate de trabajadores </w:t>
      </w:r>
      <w:proofErr w:type="gramStart"/>
      <w:r w:rsidRPr="00637A77">
        <w:rPr>
          <w:rStyle w:val="negritanovedades"/>
          <w:b w:val="0"/>
          <w:lang w:val="es-AR" w:eastAsia="es-AR"/>
        </w:rPr>
        <w:t>contratados</w:t>
      </w:r>
      <w:proofErr w:type="gramEnd"/>
      <w:r w:rsidRPr="00637A77">
        <w:rPr>
          <w:rStyle w:val="negritanovedades"/>
          <w:b w:val="0"/>
          <w:lang w:val="es-AR" w:eastAsia="es-AR"/>
        </w:rPr>
        <w:t xml:space="preserve"> con anterioridad a la entrada en vigencia del decreto, o con posterioridad a dicha fecha, todos tienen derecho al cobro del incremento.</w:t>
      </w:r>
    </w:p>
    <w:p w:rsidR="00637A77" w:rsidRDefault="00637A77" w:rsidP="00637A77">
      <w:pPr>
        <w:pStyle w:val="NormalWeb"/>
        <w:spacing w:before="0" w:beforeAutospacing="0" w:after="0" w:afterAutospacing="0"/>
        <w:jc w:val="both"/>
        <w:rPr>
          <w:rFonts w:ascii="Arial" w:eastAsia="Times New Roman" w:hAnsi="Arial" w:cs="Arial"/>
          <w:color w:val="666666"/>
          <w:sz w:val="16"/>
          <w:szCs w:val="16"/>
        </w:rPr>
      </w:pPr>
    </w:p>
    <w:p w:rsidR="00637A77" w:rsidRDefault="00637A77" w:rsidP="00637A77">
      <w:pPr>
        <w:pStyle w:val="NormalWeb"/>
        <w:spacing w:before="0" w:beforeAutospacing="0" w:after="0" w:afterAutospacing="0"/>
        <w:jc w:val="both"/>
        <w:rPr>
          <w:rFonts w:ascii="Arial" w:eastAsia="Times New Roman" w:hAnsi="Arial" w:cs="Arial"/>
          <w:color w:val="666666"/>
          <w:sz w:val="16"/>
          <w:szCs w:val="16"/>
        </w:rPr>
      </w:pPr>
    </w:p>
    <w:p w:rsidR="00637A77" w:rsidRDefault="00637A77" w:rsidP="00637A77">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SE OFICIALIZA EL INCREMENTO SALARIAL A LOS EMPLEADOS DEL SECTOR PÚBLICO NACIONAL</w:t>
      </w:r>
    </w:p>
    <w:p w:rsidR="0065530C" w:rsidRDefault="0065530C" w:rsidP="00637A77">
      <w:pPr>
        <w:jc w:val="both"/>
        <w:rPr>
          <w:rFonts w:ascii="Arial" w:hAnsi="Arial" w:cs="Arial"/>
          <w:b/>
          <w:bCs/>
          <w:caps/>
          <w:color w:val="7E4F6F"/>
          <w:sz w:val="22"/>
          <w:szCs w:val="22"/>
        </w:rPr>
      </w:pPr>
    </w:p>
    <w:p w:rsidR="0065530C" w:rsidRDefault="00637A77" w:rsidP="0065530C">
      <w:pPr>
        <w:spacing w:line="360" w:lineRule="auto"/>
        <w:jc w:val="both"/>
        <w:rPr>
          <w:rStyle w:val="negritanovedades"/>
          <w:b w:val="0"/>
          <w:lang w:eastAsia="es-AR"/>
        </w:rPr>
      </w:pPr>
      <w:r w:rsidRPr="00637A77">
        <w:rPr>
          <w:rStyle w:val="negritanovedades"/>
          <w:b w:val="0"/>
          <w:lang w:val="es-AR" w:eastAsia="es-AR"/>
        </w:rPr>
        <w:t xml:space="preserve">El Poder Ejecutivo a través del </w:t>
      </w:r>
      <w:hyperlink r:id="rId8" w:history="1">
        <w:r w:rsidRPr="00637A77">
          <w:rPr>
            <w:rStyle w:val="negritanovedades"/>
            <w:b w:val="0"/>
            <w:lang w:val="es-AR" w:eastAsia="es-AR"/>
          </w:rPr>
          <w:t>decreto 56/2020</w:t>
        </w:r>
      </w:hyperlink>
      <w:r w:rsidRPr="00637A77">
        <w:rPr>
          <w:rStyle w:val="negritanovedades"/>
          <w:b w:val="0"/>
          <w:lang w:val="es-AR" w:eastAsia="es-AR"/>
        </w:rPr>
        <w:t xml:space="preserve"> oficializó el aumento a los empleados estatales. Serán dos pagos, de $ 3.000 y $ 1000 adicionales, sobre los salarios de febrero y marzo, destinados a los sueldos de hasta $ 60.000</w:t>
      </w:r>
      <w:r w:rsidR="0065530C" w:rsidRPr="0065530C">
        <w:rPr>
          <w:rStyle w:val="negritanovedades"/>
          <w:b w:val="0"/>
          <w:lang w:eastAsia="es-AR"/>
        </w:rPr>
        <w:t>.</w:t>
      </w:r>
    </w:p>
    <w:p w:rsidR="003A4228" w:rsidRDefault="003A4228" w:rsidP="003A4228">
      <w:pPr>
        <w:autoSpaceDE w:val="0"/>
        <w:autoSpaceDN w:val="0"/>
        <w:adjustRightInd w:val="0"/>
        <w:rPr>
          <w:rFonts w:ascii="Arial" w:hAnsi="Arial" w:cs="Arial"/>
          <w:b/>
          <w:bCs/>
          <w:caps/>
          <w:color w:val="7E4F6F"/>
          <w:sz w:val="22"/>
          <w:szCs w:val="22"/>
        </w:rPr>
      </w:pPr>
    </w:p>
    <w:p w:rsidR="00637A77" w:rsidRPr="00637A77" w:rsidRDefault="00637A77" w:rsidP="00637A77">
      <w:pPr>
        <w:pStyle w:val="NormalWeb"/>
        <w:spacing w:before="0" w:beforeAutospacing="0" w:after="0" w:afterAutospacing="0"/>
        <w:jc w:val="both"/>
        <w:rPr>
          <w:rFonts w:ascii="Arial" w:hAnsi="Arial" w:cs="Arial"/>
          <w:b/>
          <w:bCs/>
          <w:caps/>
          <w:color w:val="7E4F6F"/>
          <w:sz w:val="21"/>
          <w:szCs w:val="21"/>
        </w:rPr>
      </w:pPr>
      <w:r w:rsidRPr="00637A77">
        <w:rPr>
          <w:rFonts w:ascii="Arial" w:hAnsi="Arial" w:cs="Arial"/>
          <w:b/>
          <w:bCs/>
          <w:caps/>
          <w:color w:val="7E4F6F"/>
          <w:sz w:val="21"/>
          <w:szCs w:val="21"/>
        </w:rPr>
        <w:t>CONTRIBUCIÓN INACAP. INCREMENTO A PARTIR DE ENERO DE 2020</w:t>
      </w:r>
    </w:p>
    <w:p w:rsidR="00637A77" w:rsidRDefault="00637A77" w:rsidP="00637A77">
      <w:pPr>
        <w:pStyle w:val="NormalWeb"/>
        <w:spacing w:before="0" w:beforeAutospacing="0" w:after="0" w:afterAutospacing="0"/>
        <w:jc w:val="both"/>
        <w:rPr>
          <w:rFonts w:ascii="Arial" w:hAnsi="Arial" w:cs="Arial"/>
          <w:b/>
          <w:bCs/>
          <w:caps/>
          <w:color w:val="7E4F6F"/>
          <w:sz w:val="18"/>
          <w:szCs w:val="18"/>
        </w:rPr>
      </w:pPr>
    </w:p>
    <w:p w:rsidR="00637A77" w:rsidRDefault="00637A77" w:rsidP="00637A77">
      <w:pPr>
        <w:spacing w:line="360" w:lineRule="auto"/>
        <w:jc w:val="both"/>
        <w:rPr>
          <w:rStyle w:val="negritanovedades"/>
          <w:b w:val="0"/>
          <w:lang w:val="es-AR" w:eastAsia="es-AR"/>
        </w:rPr>
      </w:pPr>
      <w:r w:rsidRPr="00637A77">
        <w:rPr>
          <w:rStyle w:val="negritanovedades"/>
          <w:b w:val="0"/>
          <w:lang w:val="es-AR" w:eastAsia="es-AR"/>
        </w:rPr>
        <w:t xml:space="preserve">En virtud del Acuerdo salarial homologado por la </w:t>
      </w:r>
      <w:hyperlink r:id="rId9" w:history="1">
        <w:r w:rsidRPr="00637A77">
          <w:rPr>
            <w:rStyle w:val="negritanovedades"/>
            <w:b w:val="0"/>
            <w:lang w:val="es-AR" w:eastAsia="es-AR"/>
          </w:rPr>
          <w:t>resolución (ST) 753/2019</w:t>
        </w:r>
      </w:hyperlink>
      <w:r w:rsidRPr="00637A77">
        <w:rPr>
          <w:rStyle w:val="negritanovedades"/>
          <w:b w:val="0"/>
          <w:lang w:val="es-AR" w:eastAsia="es-AR"/>
        </w:rPr>
        <w:t xml:space="preserve">, se procede a informar respecto de la fórmula de cálculo, modalidad existente de liquidación y pago de la contribución INACAP, aplicable a partir de la cuota de enero hasta marzo de 2020. </w:t>
      </w:r>
    </w:p>
    <w:p w:rsidR="00637A77" w:rsidRPr="00637A77" w:rsidRDefault="00637A77" w:rsidP="00637A77">
      <w:pPr>
        <w:spacing w:line="360" w:lineRule="auto"/>
        <w:jc w:val="both"/>
        <w:rPr>
          <w:rStyle w:val="negritanovedades"/>
          <w:b w:val="0"/>
          <w:lang w:val="es-AR" w:eastAsia="es-AR"/>
        </w:rPr>
      </w:pPr>
      <w:r w:rsidRPr="00637A77">
        <w:rPr>
          <w:rStyle w:val="negritanovedades"/>
          <w:b w:val="0"/>
          <w:lang w:val="es-AR" w:eastAsia="es-AR"/>
        </w:rPr>
        <w:t xml:space="preserve">Contribución Patronal - Forma de cálculo </w:t>
      </w:r>
    </w:p>
    <w:tbl>
      <w:tblPr>
        <w:tblW w:w="3627"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618"/>
        <w:gridCol w:w="1447"/>
        <w:gridCol w:w="1190"/>
        <w:gridCol w:w="1208"/>
      </w:tblGrid>
      <w:tr w:rsidR="00637A77" w:rsidRPr="00637A77" w:rsidTr="00637A77">
        <w:trPr>
          <w:trHeight w:val="1664"/>
          <w:tblCellSpacing w:w="15" w:type="dxa"/>
          <w:jc w:val="center"/>
        </w:trPr>
        <w:tc>
          <w:tcPr>
            <w:tcW w:w="19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rPr>
                <w:rStyle w:val="negritanovedades"/>
                <w:b w:val="0"/>
                <w:lang w:val="es-AR" w:eastAsia="es-AR"/>
              </w:rPr>
            </w:pPr>
            <w:r w:rsidRPr="00637A77">
              <w:rPr>
                <w:rStyle w:val="negritanovedades"/>
                <w:b w:val="0"/>
                <w:lang w:val="es-AR" w:eastAsia="es-AR"/>
              </w:rPr>
              <w:t> </w:t>
            </w:r>
          </w:p>
        </w:tc>
        <w:tc>
          <w:tcPr>
            <w:tcW w:w="10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jc w:val="center"/>
              <w:rPr>
                <w:rStyle w:val="negritanovedades"/>
                <w:b w:val="0"/>
                <w:lang w:val="es-AR" w:eastAsia="es-AR"/>
              </w:rPr>
            </w:pPr>
            <w:r w:rsidRPr="00637A77">
              <w:rPr>
                <w:rStyle w:val="negritanovedades"/>
                <w:b w:val="0"/>
                <w:lang w:val="es-AR" w:eastAsia="es-AR"/>
              </w:rPr>
              <w:t>Sueldo básico</w:t>
            </w:r>
            <w:r w:rsidRPr="00637A77">
              <w:rPr>
                <w:rStyle w:val="negritanovedades"/>
                <w:b w:val="0"/>
                <w:bCs w:val="0"/>
                <w:lang w:val="es-AR" w:eastAsia="es-AR"/>
              </w:rPr>
              <w:br/>
            </w:r>
            <w:r w:rsidRPr="00637A77">
              <w:rPr>
                <w:rStyle w:val="negritanovedades"/>
                <w:b w:val="0"/>
                <w:lang w:val="es-AR" w:eastAsia="es-AR"/>
              </w:rPr>
              <w:t>Maestranza A Inicial</w:t>
            </w:r>
          </w:p>
        </w:tc>
        <w:tc>
          <w:tcPr>
            <w:tcW w:w="8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jc w:val="center"/>
              <w:rPr>
                <w:rStyle w:val="negritanovedades"/>
                <w:b w:val="0"/>
                <w:lang w:val="es-AR" w:eastAsia="es-AR"/>
              </w:rPr>
            </w:pPr>
            <w:r w:rsidRPr="00637A77">
              <w:rPr>
                <w:rStyle w:val="negritanovedades"/>
                <w:b w:val="0"/>
                <w:lang w:val="es-AR" w:eastAsia="es-AR"/>
              </w:rPr>
              <w:t>% aporte INACAP</w:t>
            </w:r>
          </w:p>
        </w:tc>
        <w:tc>
          <w:tcPr>
            <w:tcW w:w="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jc w:val="center"/>
              <w:rPr>
                <w:rStyle w:val="negritanovedades"/>
                <w:b w:val="0"/>
                <w:lang w:val="es-AR" w:eastAsia="es-AR"/>
              </w:rPr>
            </w:pPr>
            <w:r w:rsidRPr="00637A77">
              <w:rPr>
                <w:rStyle w:val="negritanovedades"/>
                <w:b w:val="0"/>
                <w:lang w:val="es-AR" w:eastAsia="es-AR"/>
              </w:rPr>
              <w:t>Cuota INACAP</w:t>
            </w:r>
          </w:p>
        </w:tc>
      </w:tr>
      <w:tr w:rsidR="00637A77" w:rsidRPr="00637A77" w:rsidTr="00637A77">
        <w:trPr>
          <w:trHeight w:val="84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rPr>
                <w:rStyle w:val="negritanovedades"/>
                <w:b w:val="0"/>
                <w:lang w:val="es-AR" w:eastAsia="es-AR"/>
              </w:rPr>
            </w:pPr>
            <w:r w:rsidRPr="00637A77">
              <w:rPr>
                <w:rStyle w:val="negritanovedades"/>
                <w:b w:val="0"/>
                <w:lang w:val="es-AR" w:eastAsia="es-AR"/>
              </w:rPr>
              <w:t>Cuota de enero de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jc w:val="right"/>
              <w:rPr>
                <w:rStyle w:val="negritanovedades"/>
                <w:b w:val="0"/>
                <w:lang w:val="es-AR" w:eastAsia="es-AR"/>
              </w:rPr>
            </w:pPr>
            <w:r w:rsidRPr="00637A77">
              <w:rPr>
                <w:rStyle w:val="negritanovedades"/>
                <w:b w:val="0"/>
                <w:lang w:val="es-AR" w:eastAsia="es-AR"/>
              </w:rPr>
              <w:t>$ 33.670,43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jc w:val="center"/>
              <w:rPr>
                <w:rStyle w:val="negritanovedades"/>
                <w:b w:val="0"/>
                <w:lang w:val="es-AR" w:eastAsia="es-AR"/>
              </w:rPr>
            </w:pPr>
            <w:r w:rsidRPr="00637A77">
              <w:rPr>
                <w:rStyle w:val="negritanovedades"/>
                <w:b w:val="0"/>
                <w:lang w:val="es-AR" w:eastAsia="es-AR"/>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jc w:val="right"/>
              <w:rPr>
                <w:rStyle w:val="negritanovedades"/>
                <w:b w:val="0"/>
                <w:lang w:val="es-AR" w:eastAsia="es-AR"/>
              </w:rPr>
            </w:pPr>
            <w:r w:rsidRPr="00637A77">
              <w:rPr>
                <w:rStyle w:val="negritanovedades"/>
                <w:b w:val="0"/>
                <w:lang w:val="es-AR" w:eastAsia="es-AR"/>
              </w:rPr>
              <w:t>$ 168,35</w:t>
            </w:r>
          </w:p>
        </w:tc>
      </w:tr>
      <w:tr w:rsidR="00637A77" w:rsidRPr="00637A77" w:rsidTr="00637A77">
        <w:trPr>
          <w:trHeight w:val="832"/>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rPr>
                <w:rStyle w:val="negritanovedades"/>
                <w:b w:val="0"/>
                <w:lang w:val="es-AR" w:eastAsia="es-AR"/>
              </w:rPr>
            </w:pPr>
            <w:r w:rsidRPr="00637A77">
              <w:rPr>
                <w:rStyle w:val="negritanovedades"/>
                <w:b w:val="0"/>
                <w:lang w:val="es-AR" w:eastAsia="es-AR"/>
              </w:rPr>
              <w:t>Cuota de marzo de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jc w:val="right"/>
              <w:rPr>
                <w:rStyle w:val="negritanovedades"/>
                <w:b w:val="0"/>
                <w:lang w:val="es-AR" w:eastAsia="es-AR"/>
              </w:rPr>
            </w:pPr>
            <w:r w:rsidRPr="00637A77">
              <w:rPr>
                <w:rStyle w:val="negritanovedades"/>
                <w:b w:val="0"/>
                <w:lang w:val="es-AR" w:eastAsia="es-AR"/>
              </w:rPr>
              <w:t>$ 35.718,80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jc w:val="center"/>
              <w:rPr>
                <w:rStyle w:val="negritanovedades"/>
                <w:b w:val="0"/>
                <w:lang w:val="es-AR" w:eastAsia="es-AR"/>
              </w:rPr>
            </w:pPr>
            <w:r w:rsidRPr="00637A77">
              <w:rPr>
                <w:rStyle w:val="negritanovedades"/>
                <w:b w:val="0"/>
                <w:lang w:val="es-AR" w:eastAsia="es-AR"/>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7A77" w:rsidRPr="00637A77" w:rsidRDefault="00637A77" w:rsidP="00637A77">
            <w:pPr>
              <w:spacing w:line="360" w:lineRule="auto"/>
              <w:jc w:val="right"/>
              <w:rPr>
                <w:rStyle w:val="negritanovedades"/>
                <w:b w:val="0"/>
                <w:lang w:val="es-AR" w:eastAsia="es-AR"/>
              </w:rPr>
            </w:pPr>
            <w:r w:rsidRPr="00637A77">
              <w:rPr>
                <w:rStyle w:val="negritanovedades"/>
                <w:b w:val="0"/>
                <w:lang w:val="es-AR" w:eastAsia="es-AR"/>
              </w:rPr>
              <w:t>$ 178,59</w:t>
            </w:r>
          </w:p>
        </w:tc>
      </w:tr>
    </w:tbl>
    <w:p w:rsidR="00637A77" w:rsidRDefault="00637A77" w:rsidP="00637A77">
      <w:pPr>
        <w:pStyle w:val="NormalWeb"/>
        <w:spacing w:before="0" w:beforeAutospacing="0" w:after="0" w:afterAutospacing="0" w:line="360" w:lineRule="auto"/>
        <w:jc w:val="both"/>
        <w:rPr>
          <w:rStyle w:val="negritanovedades"/>
          <w:b w:val="0"/>
          <w:lang w:val="es-AR" w:eastAsia="es-AR"/>
        </w:rPr>
      </w:pPr>
      <w:r w:rsidRPr="00637A77">
        <w:rPr>
          <w:rStyle w:val="negritanovedades"/>
          <w:b w:val="0"/>
          <w:lang w:val="es-AR" w:eastAsia="es-AR"/>
        </w:rPr>
        <w:t xml:space="preserve">Liquidación y emisión de la boleta de pago: a través de la página </w:t>
      </w:r>
      <w:hyperlink r:id="rId10" w:history="1">
        <w:r w:rsidRPr="00637A77">
          <w:rPr>
            <w:rStyle w:val="negritanovedades"/>
            <w:b w:val="0"/>
            <w:lang w:val="es-AR" w:eastAsia="es-AR"/>
          </w:rPr>
          <w:t>www.institutocap.org.ar</w:t>
        </w:r>
      </w:hyperlink>
      <w:r w:rsidRPr="00637A77">
        <w:rPr>
          <w:rStyle w:val="negritanovedades"/>
          <w:b w:val="0"/>
          <w:lang w:val="es-AR" w:eastAsia="es-AR"/>
        </w:rPr>
        <w:t xml:space="preserve">. </w:t>
      </w:r>
      <w:r w:rsidRPr="00637A77">
        <w:rPr>
          <w:rStyle w:val="negritanovedades"/>
          <w:b w:val="0"/>
          <w:lang w:val="es-AR" w:eastAsia="es-AR"/>
        </w:rPr>
        <w:br/>
        <w:t xml:space="preserve">Vencimiento: los días 15 del mes siguiente. </w:t>
      </w:r>
    </w:p>
    <w:p w:rsidR="003B0D3B" w:rsidRDefault="00637A77" w:rsidP="00637A77">
      <w:pPr>
        <w:pStyle w:val="NormalWeb"/>
        <w:spacing w:before="0" w:beforeAutospacing="0" w:after="0" w:afterAutospacing="0" w:line="360" w:lineRule="auto"/>
        <w:jc w:val="both"/>
        <w:rPr>
          <w:rStyle w:val="negritanovedades"/>
          <w:b w:val="0"/>
          <w:lang w:val="es-AR" w:eastAsia="es-AR"/>
        </w:rPr>
      </w:pPr>
      <w:r w:rsidRPr="00637A77">
        <w:rPr>
          <w:rStyle w:val="negritanovedades"/>
          <w:b w:val="0"/>
          <w:lang w:val="es-AR" w:eastAsia="es-AR"/>
        </w:rPr>
        <w:t>Vigencia: aplicable a los sueldos de enero a marzo de 2020</w:t>
      </w:r>
    </w:p>
    <w:p w:rsidR="00637A77" w:rsidRPr="00637A77" w:rsidRDefault="00637A77" w:rsidP="00637A77">
      <w:pPr>
        <w:pStyle w:val="NormalWeb"/>
        <w:spacing w:before="0" w:beforeAutospacing="0" w:after="0" w:afterAutospacing="0" w:line="360" w:lineRule="auto"/>
        <w:jc w:val="both"/>
        <w:rPr>
          <w:rStyle w:val="negritanovedades"/>
          <w:b w:val="0"/>
          <w:lang w:val="es-AR" w:eastAsia="es-AR"/>
        </w:rPr>
      </w:pPr>
    </w:p>
    <w:p w:rsidR="00637A77" w:rsidRDefault="00637A77" w:rsidP="00637A77">
      <w:pPr>
        <w:pStyle w:val="NormalWeb"/>
        <w:spacing w:before="0" w:beforeAutospacing="0" w:after="0" w:afterAutospacing="0"/>
        <w:jc w:val="both"/>
        <w:rPr>
          <w:rFonts w:ascii="Arial" w:hAnsi="Arial" w:cs="Arial"/>
          <w:b/>
          <w:bCs/>
          <w:caps/>
          <w:color w:val="7E4F6F"/>
          <w:sz w:val="21"/>
          <w:szCs w:val="21"/>
        </w:rPr>
      </w:pPr>
      <w:r w:rsidRPr="00637A77">
        <w:rPr>
          <w:rFonts w:ascii="Arial" w:hAnsi="Arial" w:cs="Arial"/>
          <w:b/>
          <w:bCs/>
          <w:caps/>
          <w:color w:val="7E4F6F"/>
          <w:sz w:val="21"/>
          <w:szCs w:val="21"/>
        </w:rPr>
        <w:t xml:space="preserve">SE EXTIENDE EL USO DEL BILLETE DE $5 </w:t>
      </w:r>
    </w:p>
    <w:p w:rsidR="00637A77" w:rsidRPr="00637A77" w:rsidRDefault="00637A77" w:rsidP="00637A77">
      <w:pPr>
        <w:pStyle w:val="NormalWeb"/>
        <w:spacing w:before="0" w:beforeAutospacing="0" w:after="0" w:afterAutospacing="0"/>
        <w:jc w:val="both"/>
        <w:rPr>
          <w:rFonts w:ascii="Arial" w:hAnsi="Arial" w:cs="Arial"/>
          <w:b/>
          <w:bCs/>
          <w:caps/>
          <w:color w:val="7E4F6F"/>
          <w:sz w:val="21"/>
          <w:szCs w:val="21"/>
        </w:rPr>
      </w:pPr>
    </w:p>
    <w:p w:rsidR="00637A77" w:rsidRPr="00637A77" w:rsidRDefault="00637A77" w:rsidP="00637A77">
      <w:pPr>
        <w:pStyle w:val="NormalWeb"/>
        <w:spacing w:before="0" w:beforeAutospacing="0" w:after="0" w:afterAutospacing="0" w:line="360" w:lineRule="auto"/>
        <w:jc w:val="both"/>
        <w:rPr>
          <w:rStyle w:val="negritanovedades"/>
          <w:b w:val="0"/>
          <w:lang w:val="es-AR" w:eastAsia="es-AR"/>
        </w:rPr>
      </w:pPr>
      <w:r w:rsidRPr="00637A77">
        <w:rPr>
          <w:rStyle w:val="negritanovedades"/>
          <w:b w:val="0"/>
          <w:lang w:val="es-AR" w:eastAsia="es-AR"/>
        </w:rPr>
        <w:t>La CAME informa que el Banco Central de la República Argentina (BCRA) dispuso la extensión del uso de los billetes de 5 pesos hasta el 29 de febrero y, con posterioridad a esa fecha, podrán ser canjeados o depositados en todos los bancos del país hasta el 31 de marzo</w:t>
      </w:r>
    </w:p>
    <w:p w:rsidR="0065530C" w:rsidRPr="00FD12C0" w:rsidRDefault="0065530C" w:rsidP="00551A1F">
      <w:pPr>
        <w:pStyle w:val="NormalWeb"/>
        <w:spacing w:before="0" w:beforeAutospacing="0" w:after="0" w:afterAutospacing="0" w:line="360" w:lineRule="auto"/>
        <w:jc w:val="both"/>
        <w:rPr>
          <w:rStyle w:val="negritanovedades"/>
          <w:rFonts w:ascii="Arial" w:eastAsia="Times New Roman" w:hAnsi="Arial" w:cs="Arial"/>
          <w:color w:val="666666"/>
          <w:sz w:val="20"/>
          <w:szCs w:val="20"/>
          <w:lang w:eastAsia="es-AR"/>
        </w:rPr>
      </w:pPr>
    </w:p>
    <w:sectPr w:rsidR="0065530C" w:rsidRPr="00FD12C0"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7BF" w:rsidRDefault="00D117BF" w:rsidP="00A22916">
      <w:r>
        <w:separator/>
      </w:r>
    </w:p>
  </w:endnote>
  <w:endnote w:type="continuationSeparator" w:id="0">
    <w:p w:rsidR="00D117BF" w:rsidRDefault="00D117BF"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BF" w:rsidRDefault="00D117BF"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637A77" w:rsidRPr="00637A77">
        <w:rPr>
          <w:rFonts w:asciiTheme="majorHAnsi" w:hAnsiTheme="majorHAnsi"/>
          <w:noProof/>
        </w:rPr>
        <w:t>3</w:t>
      </w:r>
    </w:fldSimple>
  </w:p>
  <w:p w:rsidR="00D117BF" w:rsidRDefault="00D117BF" w:rsidP="0063669F">
    <w:pPr>
      <w:pStyle w:val="Piedepgina"/>
    </w:pPr>
  </w:p>
  <w:p w:rsidR="00D117BF" w:rsidRDefault="00D117BF" w:rsidP="0063669F">
    <w:pPr>
      <w:pStyle w:val="Piedepgina"/>
    </w:pPr>
  </w:p>
  <w:p w:rsidR="00D117BF" w:rsidRDefault="00D117BF"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7BF" w:rsidRDefault="00D117BF" w:rsidP="00A22916">
      <w:r>
        <w:separator/>
      </w:r>
    </w:p>
  </w:footnote>
  <w:footnote w:type="continuationSeparator" w:id="0">
    <w:p w:rsidR="00D117BF" w:rsidRDefault="00D117BF"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BF" w:rsidRDefault="00D117BF"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637A77">
      <w:rPr>
        <w:b/>
        <w:sz w:val="40"/>
        <w:szCs w:val="40"/>
      </w:rPr>
      <w:t>3</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3">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5"/>
  </w:num>
  <w:num w:numId="7">
    <w:abstractNumId w:val="33"/>
  </w:num>
  <w:num w:numId="8">
    <w:abstractNumId w:val="32"/>
  </w:num>
  <w:num w:numId="9">
    <w:abstractNumId w:val="18"/>
  </w:num>
  <w:num w:numId="10">
    <w:abstractNumId w:val="30"/>
  </w:num>
  <w:num w:numId="11">
    <w:abstractNumId w:val="17"/>
  </w:num>
  <w:num w:numId="12">
    <w:abstractNumId w:val="20"/>
  </w:num>
  <w:num w:numId="13">
    <w:abstractNumId w:val="21"/>
  </w:num>
  <w:num w:numId="14">
    <w:abstractNumId w:val="9"/>
  </w:num>
  <w:num w:numId="15">
    <w:abstractNumId w:val="14"/>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7"/>
  </w:num>
  <w:num w:numId="20">
    <w:abstractNumId w:val="2"/>
  </w:num>
  <w:num w:numId="21">
    <w:abstractNumId w:val="8"/>
  </w:num>
  <w:num w:numId="22">
    <w:abstractNumId w:val="31"/>
  </w:num>
  <w:num w:numId="23">
    <w:abstractNumId w:val="5"/>
  </w:num>
  <w:num w:numId="24">
    <w:abstractNumId w:val="7"/>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3"/>
  </w:num>
  <w:num w:numId="2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6"/>
  </w:num>
  <w:num w:numId="31">
    <w:abstractNumId w:val="13"/>
  </w:num>
  <w:num w:numId="32">
    <w:abstractNumId w:val="12"/>
  </w:num>
  <w:num w:numId="33">
    <w:abstractNumId w:val="19"/>
  </w:num>
  <w:num w:numId="34">
    <w:abstractNumId w:val="28"/>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69E"/>
    <w:rsid w:val="00E42CF2"/>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1FB"/>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1131&amp;actionCode=52880&amp;enterCode=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stitutocap.org.ar" TargetMode="External"/><Relationship Id="rId4" Type="http://schemas.openxmlformats.org/officeDocument/2006/relationships/settings" Target="settings.xml"/><Relationship Id="rId9" Type="http://schemas.openxmlformats.org/officeDocument/2006/relationships/hyperlink" Target="http://click.erreparmail.com/access.epl?shopperID=931137&amp;actionCode=52891&amp;enterCode=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80C29-3BC1-423E-BCA7-0B8A1253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2020-01-17T22:06:00Z</dcterms:created>
  <dcterms:modified xsi:type="dcterms:W3CDTF">2020-01-17T22:16:00Z</dcterms:modified>
</cp:coreProperties>
</file>